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E22701" w:rsidRDefault="00E22701" w:rsidP="00E22701">
      <w:pPr>
        <w:rPr>
          <w:rFonts w:cstheme="minorHAnsi"/>
          <w:color w:val="FF0000"/>
          <w:lang w:val="en-US"/>
        </w:rPr>
      </w:pPr>
      <w:bookmarkStart w:id="0" w:name="_GoBack"/>
      <w:bookmarkEnd w:id="0"/>
    </w:p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</w:t>
      </w:r>
      <w:r>
        <w:rPr>
          <w:lang w:val="en-US"/>
        </w:rPr>
        <w:t>.</w:t>
      </w:r>
      <w:r>
        <w:rPr>
          <w:lang w:val="en-US"/>
        </w:rPr>
        <w:t>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F60E77" w:rsidRDefault="00950F33" w:rsidP="00950F33">
      <w:r w:rsidRPr="00F60E77">
        <w:t xml:space="preserve">Etalab, </w:t>
      </w:r>
      <w:r w:rsidRPr="00950F33">
        <w:t xml:space="preserve">Capture d’écran 2021-01-06 à 20.06.38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Default="00950F33" w:rsidP="00F60E77">
      <w:pPr>
        <w:rPr>
          <w:rFonts w:cstheme="minorHAnsi"/>
          <w:color w:val="FF0000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950F33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5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30DA1"/>
    <w:rsid w:val="00044BD0"/>
    <w:rsid w:val="0005521D"/>
    <w:rsid w:val="00061831"/>
    <w:rsid w:val="000720CD"/>
    <w:rsid w:val="00072422"/>
    <w:rsid w:val="00072928"/>
    <w:rsid w:val="00087D7D"/>
    <w:rsid w:val="00094660"/>
    <w:rsid w:val="000A016E"/>
    <w:rsid w:val="000A4E73"/>
    <w:rsid w:val="000A6C61"/>
    <w:rsid w:val="000B7D36"/>
    <w:rsid w:val="000F6ECD"/>
    <w:rsid w:val="00103414"/>
    <w:rsid w:val="001454E6"/>
    <w:rsid w:val="00165D50"/>
    <w:rsid w:val="001A7344"/>
    <w:rsid w:val="001B3C52"/>
    <w:rsid w:val="001B5841"/>
    <w:rsid w:val="001B76CE"/>
    <w:rsid w:val="001E2243"/>
    <w:rsid w:val="001E23BB"/>
    <w:rsid w:val="001F4F6E"/>
    <w:rsid w:val="00204AB3"/>
    <w:rsid w:val="00241AB2"/>
    <w:rsid w:val="0024608C"/>
    <w:rsid w:val="00251E41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C5316"/>
    <w:rsid w:val="00301710"/>
    <w:rsid w:val="00313A59"/>
    <w:rsid w:val="00337671"/>
    <w:rsid w:val="00360E1B"/>
    <w:rsid w:val="00374363"/>
    <w:rsid w:val="00384207"/>
    <w:rsid w:val="003A011E"/>
    <w:rsid w:val="00400059"/>
    <w:rsid w:val="0041786E"/>
    <w:rsid w:val="00425E9F"/>
    <w:rsid w:val="0043035B"/>
    <w:rsid w:val="00477671"/>
    <w:rsid w:val="0048446A"/>
    <w:rsid w:val="004A0FF6"/>
    <w:rsid w:val="004A104F"/>
    <w:rsid w:val="004A17DB"/>
    <w:rsid w:val="004A790B"/>
    <w:rsid w:val="004B238F"/>
    <w:rsid w:val="004B761C"/>
    <w:rsid w:val="004C3AC8"/>
    <w:rsid w:val="004C66BC"/>
    <w:rsid w:val="004D4F50"/>
    <w:rsid w:val="004E2900"/>
    <w:rsid w:val="005035A0"/>
    <w:rsid w:val="00514F24"/>
    <w:rsid w:val="005475E3"/>
    <w:rsid w:val="005515EF"/>
    <w:rsid w:val="00552A4C"/>
    <w:rsid w:val="0055301A"/>
    <w:rsid w:val="00561BB8"/>
    <w:rsid w:val="00585B0F"/>
    <w:rsid w:val="005C0E4A"/>
    <w:rsid w:val="005C5761"/>
    <w:rsid w:val="005D163D"/>
    <w:rsid w:val="005E0E5C"/>
    <w:rsid w:val="006130BB"/>
    <w:rsid w:val="00614D72"/>
    <w:rsid w:val="00666657"/>
    <w:rsid w:val="00681FF7"/>
    <w:rsid w:val="00684F2B"/>
    <w:rsid w:val="0069458A"/>
    <w:rsid w:val="0069462E"/>
    <w:rsid w:val="006A0169"/>
    <w:rsid w:val="006C1A6E"/>
    <w:rsid w:val="006E0312"/>
    <w:rsid w:val="006E29D3"/>
    <w:rsid w:val="00701F69"/>
    <w:rsid w:val="00706989"/>
    <w:rsid w:val="00706B88"/>
    <w:rsid w:val="0071543E"/>
    <w:rsid w:val="00794F62"/>
    <w:rsid w:val="00796C29"/>
    <w:rsid w:val="007B09A1"/>
    <w:rsid w:val="007C492B"/>
    <w:rsid w:val="007E4654"/>
    <w:rsid w:val="007E788D"/>
    <w:rsid w:val="00820692"/>
    <w:rsid w:val="00820D7A"/>
    <w:rsid w:val="008433C1"/>
    <w:rsid w:val="00846757"/>
    <w:rsid w:val="008A4722"/>
    <w:rsid w:val="008D62DE"/>
    <w:rsid w:val="008E1754"/>
    <w:rsid w:val="008E5747"/>
    <w:rsid w:val="00901FFE"/>
    <w:rsid w:val="00902078"/>
    <w:rsid w:val="00917D7B"/>
    <w:rsid w:val="00921CF8"/>
    <w:rsid w:val="0093695E"/>
    <w:rsid w:val="00950F33"/>
    <w:rsid w:val="00964A82"/>
    <w:rsid w:val="00971548"/>
    <w:rsid w:val="00972098"/>
    <w:rsid w:val="00982514"/>
    <w:rsid w:val="00985A2B"/>
    <w:rsid w:val="00990AFC"/>
    <w:rsid w:val="009A08EA"/>
    <w:rsid w:val="009A5878"/>
    <w:rsid w:val="009A610D"/>
    <w:rsid w:val="009B39D9"/>
    <w:rsid w:val="009D2FEE"/>
    <w:rsid w:val="009E4666"/>
    <w:rsid w:val="009F5CF5"/>
    <w:rsid w:val="00A05D0B"/>
    <w:rsid w:val="00A10B12"/>
    <w:rsid w:val="00A32AA1"/>
    <w:rsid w:val="00A35B37"/>
    <w:rsid w:val="00A455BA"/>
    <w:rsid w:val="00A52055"/>
    <w:rsid w:val="00A90693"/>
    <w:rsid w:val="00AA05D1"/>
    <w:rsid w:val="00AA2D49"/>
    <w:rsid w:val="00AA6993"/>
    <w:rsid w:val="00AC5F85"/>
    <w:rsid w:val="00AC6768"/>
    <w:rsid w:val="00AE6A44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920EF"/>
    <w:rsid w:val="00B939A9"/>
    <w:rsid w:val="00B9657A"/>
    <w:rsid w:val="00B970F1"/>
    <w:rsid w:val="00BB5085"/>
    <w:rsid w:val="00BC2EF1"/>
    <w:rsid w:val="00BC4DBF"/>
    <w:rsid w:val="00BF2CCC"/>
    <w:rsid w:val="00C062E8"/>
    <w:rsid w:val="00C07E21"/>
    <w:rsid w:val="00C25463"/>
    <w:rsid w:val="00C35B9B"/>
    <w:rsid w:val="00C41481"/>
    <w:rsid w:val="00C5217E"/>
    <w:rsid w:val="00C521C0"/>
    <w:rsid w:val="00C52C67"/>
    <w:rsid w:val="00C54807"/>
    <w:rsid w:val="00C67CF8"/>
    <w:rsid w:val="00C70F8A"/>
    <w:rsid w:val="00C74188"/>
    <w:rsid w:val="00C91E92"/>
    <w:rsid w:val="00CB08D7"/>
    <w:rsid w:val="00CB4E56"/>
    <w:rsid w:val="00D07D0F"/>
    <w:rsid w:val="00D10F94"/>
    <w:rsid w:val="00D125E2"/>
    <w:rsid w:val="00D14185"/>
    <w:rsid w:val="00D20F72"/>
    <w:rsid w:val="00D269C0"/>
    <w:rsid w:val="00D348B5"/>
    <w:rsid w:val="00D4211B"/>
    <w:rsid w:val="00D518B7"/>
    <w:rsid w:val="00D73844"/>
    <w:rsid w:val="00D77F0C"/>
    <w:rsid w:val="00D944CE"/>
    <w:rsid w:val="00D97956"/>
    <w:rsid w:val="00DB6710"/>
    <w:rsid w:val="00DC554A"/>
    <w:rsid w:val="00DE7662"/>
    <w:rsid w:val="00DF3E4D"/>
    <w:rsid w:val="00E10BD4"/>
    <w:rsid w:val="00E137D0"/>
    <w:rsid w:val="00E16245"/>
    <w:rsid w:val="00E2070D"/>
    <w:rsid w:val="00E20A1F"/>
    <w:rsid w:val="00E22701"/>
    <w:rsid w:val="00E311AB"/>
    <w:rsid w:val="00E45608"/>
    <w:rsid w:val="00E7774B"/>
    <w:rsid w:val="00E94B06"/>
    <w:rsid w:val="00E962FA"/>
    <w:rsid w:val="00EC05B3"/>
    <w:rsid w:val="00ED321A"/>
    <w:rsid w:val="00ED4119"/>
    <w:rsid w:val="00ED5DF6"/>
    <w:rsid w:val="00EE30B0"/>
    <w:rsid w:val="00EF0DF9"/>
    <w:rsid w:val="00EF7070"/>
    <w:rsid w:val="00F14BAC"/>
    <w:rsid w:val="00F205A7"/>
    <w:rsid w:val="00F31408"/>
    <w:rsid w:val="00F45A02"/>
    <w:rsid w:val="00F60949"/>
    <w:rsid w:val="00F60E77"/>
    <w:rsid w:val="00F729C1"/>
    <w:rsid w:val="00F935EC"/>
    <w:rsid w:val="00FA6124"/>
    <w:rsid w:val="00FB0C8B"/>
    <w:rsid w:val="00FC0749"/>
    <w:rsid w:val="00FC26A0"/>
    <w:rsid w:val="00FC39BC"/>
    <w:rsid w:val="00FC418B"/>
    <w:rsid w:val="00FC5E1F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78936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125C19-ADA8-8946-A5E9-C1E5BCD5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4411</Words>
  <Characters>24264</Characters>
  <Application>Microsoft Office Word</Application>
  <DocSecurity>0</DocSecurity>
  <Lines>202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175</cp:revision>
  <dcterms:created xsi:type="dcterms:W3CDTF">2020-09-05T08:03:00Z</dcterms:created>
  <dcterms:modified xsi:type="dcterms:W3CDTF">2021-01-06T21:19:00Z</dcterms:modified>
</cp:coreProperties>
</file>